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92D4" w14:textId="77777777" w:rsidR="00C9721F" w:rsidRDefault="00C9721F">
      <w:pPr>
        <w:pStyle w:val="BodyText"/>
      </w:pPr>
    </w:p>
    <w:p w14:paraId="4FEC92D5" w14:textId="77777777" w:rsidR="00C9721F" w:rsidRDefault="00C9721F">
      <w:pPr>
        <w:pStyle w:val="BodyText"/>
        <w:spacing w:before="239"/>
      </w:pPr>
    </w:p>
    <w:p w14:paraId="4FEC92D6" w14:textId="3A7133FD" w:rsidR="00C9721F" w:rsidRDefault="00475D1F">
      <w:pPr>
        <w:pStyle w:val="Title"/>
      </w:pPr>
      <w:r>
        <w:rPr>
          <w:noProof/>
        </w:rPr>
        <w:drawing>
          <wp:anchor distT="0" distB="0" distL="0" distR="0" simplePos="0" relativeHeight="15728640" behindDoc="0" locked="0" layoutInCell="1" allowOverlap="1" wp14:anchorId="4FEC9382" wp14:editId="4FEC9383">
            <wp:simplePos x="0" y="0"/>
            <wp:positionH relativeFrom="page">
              <wp:posOffset>6265545</wp:posOffset>
            </wp:positionH>
            <wp:positionV relativeFrom="paragraph">
              <wp:posOffset>-496159</wp:posOffset>
            </wp:positionV>
            <wp:extent cx="920115" cy="9201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20115" cy="920115"/>
                    </a:xfrm>
                    <a:prstGeom prst="rect">
                      <a:avLst/>
                    </a:prstGeom>
                  </pic:spPr>
                </pic:pic>
              </a:graphicData>
            </a:graphic>
          </wp:anchor>
        </w:drawing>
      </w:r>
      <w:r>
        <w:t>Lietuvos</w:t>
      </w:r>
      <w:r>
        <w:rPr>
          <w:spacing w:val="-2"/>
        </w:rPr>
        <w:t xml:space="preserve"> </w:t>
      </w:r>
      <w:r>
        <w:t>nacionalinio</w:t>
      </w:r>
      <w:r>
        <w:rPr>
          <w:spacing w:val="-1"/>
        </w:rPr>
        <w:t xml:space="preserve"> </w:t>
      </w:r>
      <w:r>
        <w:t>koordinacinio</w:t>
      </w:r>
      <w:r>
        <w:rPr>
          <w:spacing w:val="-1"/>
        </w:rPr>
        <w:t xml:space="preserve"> </w:t>
      </w:r>
      <w:r>
        <w:t>centro</w:t>
      </w:r>
      <w:r>
        <w:rPr>
          <w:spacing w:val="-1"/>
        </w:rPr>
        <w:t xml:space="preserve"> </w:t>
      </w:r>
      <w:r>
        <w:t>202</w:t>
      </w:r>
      <w:r w:rsidR="00857A32">
        <w:t xml:space="preserve">5 </w:t>
      </w:r>
      <w:r>
        <w:t>m.</w:t>
      </w:r>
      <w:r>
        <w:rPr>
          <w:spacing w:val="-1"/>
        </w:rPr>
        <w:t xml:space="preserve"> </w:t>
      </w:r>
      <w:r>
        <w:t>veiklos</w:t>
      </w:r>
      <w:r>
        <w:rPr>
          <w:spacing w:val="-1"/>
        </w:rPr>
        <w:t xml:space="preserve"> </w:t>
      </w:r>
      <w:r>
        <w:rPr>
          <w:spacing w:val="-2"/>
        </w:rPr>
        <w:t>planas</w:t>
      </w:r>
    </w:p>
    <w:p w14:paraId="4FEC92D7" w14:textId="77777777" w:rsidR="00C9721F" w:rsidRDefault="00C9721F">
      <w:pPr>
        <w:pStyle w:val="BodyText"/>
        <w:spacing w:before="178"/>
        <w:rPr>
          <w:b/>
        </w:rPr>
      </w:pPr>
    </w:p>
    <w:p w14:paraId="4FEC92D8" w14:textId="0CEE688B" w:rsidR="00C9721F" w:rsidRDefault="00475D1F">
      <w:pPr>
        <w:pStyle w:val="BodyText"/>
        <w:ind w:left="113" w:right="102"/>
        <w:jc w:val="both"/>
      </w:pPr>
      <w:r>
        <w:t xml:space="preserve">Nacionalinis koordinacinis centras (toliau – NKC) susideda iš savanoriškais pagrindais veikiančių nepriklausomų ekspertų, sekretoriato, kurio funkcijas atlieka Ekonomikos ir inovacijų ministerijos </w:t>
      </w:r>
      <w:r w:rsidR="00E35235">
        <w:t>Europos Sąjungos ir tarptautinių reikalų</w:t>
      </w:r>
      <w:r>
        <w:t xml:space="preserve"> </w:t>
      </w:r>
      <w:r w:rsidR="00C210A5">
        <w:t>grupė</w:t>
      </w:r>
      <w:r w:rsidR="00DF46A9">
        <w:t>,</w:t>
      </w:r>
      <w:r>
        <w:t xml:space="preserve"> ir Patariamojo komiteto, kurį sudaro ministerijų (Teisingumo ministerijos, Užsienio reikalų ministerijos, Žemės ūkio ministerijos, Aplinkos ministerijos, Finansų ministerijos ir Socialinės apsaugos ir darbo ministerijos) atstovai.</w:t>
      </w:r>
    </w:p>
    <w:p w14:paraId="4FEC92D9" w14:textId="77777777" w:rsidR="00C9721F" w:rsidRDefault="00C9721F">
      <w:pPr>
        <w:pStyle w:val="BodyText"/>
        <w:rPr>
          <w:sz w:val="20"/>
        </w:rPr>
      </w:pPr>
    </w:p>
    <w:p w14:paraId="4FEC92DA" w14:textId="77777777" w:rsidR="00C9721F" w:rsidRDefault="00C9721F">
      <w:pPr>
        <w:pStyle w:val="BodyText"/>
        <w:spacing w:before="88"/>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1563"/>
        <w:gridCol w:w="5166"/>
      </w:tblGrid>
      <w:tr w:rsidR="00C9721F" w14:paraId="4FEC92DC" w14:textId="77777777">
        <w:trPr>
          <w:trHeight w:val="515"/>
        </w:trPr>
        <w:tc>
          <w:tcPr>
            <w:tcW w:w="10198" w:type="dxa"/>
            <w:gridSpan w:val="3"/>
            <w:shd w:val="clear" w:color="auto" w:fill="9CC2E4"/>
          </w:tcPr>
          <w:p w14:paraId="4FEC92DB" w14:textId="77777777" w:rsidR="00C9721F" w:rsidRDefault="00475D1F">
            <w:pPr>
              <w:pStyle w:val="TableParagraph"/>
              <w:spacing w:before="119"/>
              <w:ind w:left="12" w:right="4"/>
              <w:jc w:val="center"/>
              <w:rPr>
                <w:b/>
                <w:i/>
                <w:sz w:val="24"/>
              </w:rPr>
            </w:pPr>
            <w:r>
              <w:rPr>
                <w:b/>
                <w:i/>
                <w:sz w:val="24"/>
              </w:rPr>
              <w:t>Organizuojami</w:t>
            </w:r>
            <w:r>
              <w:rPr>
                <w:b/>
                <w:i/>
                <w:spacing w:val="-2"/>
                <w:sz w:val="24"/>
              </w:rPr>
              <w:t xml:space="preserve"> </w:t>
            </w:r>
            <w:r>
              <w:rPr>
                <w:b/>
                <w:i/>
                <w:sz w:val="24"/>
              </w:rPr>
              <w:t>renginiai</w:t>
            </w:r>
            <w:r>
              <w:rPr>
                <w:b/>
                <w:i/>
                <w:spacing w:val="-1"/>
                <w:sz w:val="24"/>
              </w:rPr>
              <w:t xml:space="preserve"> </w:t>
            </w:r>
            <w:r>
              <w:rPr>
                <w:b/>
                <w:i/>
                <w:sz w:val="24"/>
              </w:rPr>
              <w:t>/</w:t>
            </w:r>
            <w:r>
              <w:rPr>
                <w:b/>
                <w:i/>
                <w:spacing w:val="-1"/>
                <w:sz w:val="24"/>
              </w:rPr>
              <w:t xml:space="preserve"> </w:t>
            </w:r>
            <w:r>
              <w:rPr>
                <w:b/>
                <w:i/>
                <w:spacing w:val="-2"/>
                <w:sz w:val="24"/>
              </w:rPr>
              <w:t>veiklos</w:t>
            </w:r>
          </w:p>
        </w:tc>
      </w:tr>
      <w:tr w:rsidR="00C9721F" w14:paraId="4FEC92E0" w14:textId="77777777">
        <w:trPr>
          <w:trHeight w:val="792"/>
        </w:trPr>
        <w:tc>
          <w:tcPr>
            <w:tcW w:w="3469" w:type="dxa"/>
          </w:tcPr>
          <w:p w14:paraId="4FEC92DD" w14:textId="77777777" w:rsidR="00C9721F" w:rsidRDefault="00475D1F">
            <w:pPr>
              <w:pStyle w:val="TableParagraph"/>
              <w:spacing w:before="251"/>
              <w:ind w:left="739"/>
              <w:rPr>
                <w:i/>
                <w:sz w:val="24"/>
              </w:rPr>
            </w:pPr>
            <w:r>
              <w:rPr>
                <w:i/>
                <w:sz w:val="24"/>
              </w:rPr>
              <w:t>Veiklos</w:t>
            </w:r>
            <w:r>
              <w:rPr>
                <w:i/>
                <w:spacing w:val="-4"/>
                <w:sz w:val="24"/>
              </w:rPr>
              <w:t xml:space="preserve"> </w:t>
            </w:r>
            <w:r>
              <w:rPr>
                <w:i/>
                <w:spacing w:val="-2"/>
                <w:sz w:val="24"/>
              </w:rPr>
              <w:t>pavadinimas</w:t>
            </w:r>
          </w:p>
        </w:tc>
        <w:tc>
          <w:tcPr>
            <w:tcW w:w="1563" w:type="dxa"/>
          </w:tcPr>
          <w:p w14:paraId="4FEC92DE" w14:textId="77777777" w:rsidR="00C9721F" w:rsidRDefault="00475D1F">
            <w:pPr>
              <w:pStyle w:val="TableParagraph"/>
              <w:spacing w:before="114"/>
              <w:ind w:left="361" w:hanging="231"/>
              <w:rPr>
                <w:i/>
                <w:sz w:val="24"/>
              </w:rPr>
            </w:pPr>
            <w:r>
              <w:rPr>
                <w:i/>
                <w:spacing w:val="-2"/>
                <w:sz w:val="24"/>
              </w:rPr>
              <w:t>Įgyvendinimo terminas</w:t>
            </w:r>
          </w:p>
        </w:tc>
        <w:tc>
          <w:tcPr>
            <w:tcW w:w="5166" w:type="dxa"/>
          </w:tcPr>
          <w:p w14:paraId="4FEC92DF" w14:textId="61CF0E57" w:rsidR="00C9721F" w:rsidRDefault="00475D1F">
            <w:pPr>
              <w:pStyle w:val="TableParagraph"/>
              <w:spacing w:before="251"/>
              <w:ind w:left="1079"/>
              <w:rPr>
                <w:i/>
                <w:sz w:val="24"/>
              </w:rPr>
            </w:pPr>
            <w:r>
              <w:rPr>
                <w:i/>
                <w:sz w:val="24"/>
              </w:rPr>
              <w:t>Komentaras</w:t>
            </w:r>
          </w:p>
        </w:tc>
      </w:tr>
      <w:tr w:rsidR="00C9721F" w14:paraId="4FEC92E6" w14:textId="77777777">
        <w:trPr>
          <w:trHeight w:val="1499"/>
        </w:trPr>
        <w:tc>
          <w:tcPr>
            <w:tcW w:w="3469" w:type="dxa"/>
          </w:tcPr>
          <w:p w14:paraId="4FEC92E1" w14:textId="58419965" w:rsidR="00C9721F" w:rsidRPr="00400A98" w:rsidRDefault="00400A98">
            <w:pPr>
              <w:pStyle w:val="TableParagraph"/>
              <w:spacing w:before="54"/>
              <w:ind w:left="110"/>
              <w:rPr>
                <w:sz w:val="24"/>
              </w:rPr>
            </w:pPr>
            <w:r w:rsidRPr="00400A98">
              <w:rPr>
                <w:sz w:val="24"/>
              </w:rPr>
              <w:t xml:space="preserve">Elektroninio lankstinuko </w:t>
            </w:r>
            <w:r>
              <w:rPr>
                <w:sz w:val="24"/>
              </w:rPr>
              <w:t xml:space="preserve">apie NKC </w:t>
            </w:r>
            <w:r w:rsidR="00C639C1">
              <w:rPr>
                <w:sz w:val="24"/>
              </w:rPr>
              <w:t>parengimas ir paskelbimas</w:t>
            </w:r>
          </w:p>
        </w:tc>
        <w:tc>
          <w:tcPr>
            <w:tcW w:w="1563" w:type="dxa"/>
          </w:tcPr>
          <w:p w14:paraId="4FEC92E2" w14:textId="77777777" w:rsidR="00C9721F" w:rsidRDefault="00C9721F">
            <w:pPr>
              <w:pStyle w:val="TableParagraph"/>
              <w:spacing w:before="193"/>
              <w:rPr>
                <w:sz w:val="24"/>
              </w:rPr>
            </w:pPr>
          </w:p>
          <w:p w14:paraId="4FEC92E3" w14:textId="3ACEAC3E" w:rsidR="00C9721F" w:rsidRDefault="00475D1F">
            <w:pPr>
              <w:pStyle w:val="TableParagraph"/>
              <w:ind w:left="18"/>
              <w:jc w:val="center"/>
              <w:rPr>
                <w:sz w:val="24"/>
              </w:rPr>
            </w:pPr>
            <w:r>
              <w:rPr>
                <w:sz w:val="24"/>
              </w:rPr>
              <w:t>202</w:t>
            </w:r>
            <w:r w:rsidR="00910E73">
              <w:rPr>
                <w:sz w:val="24"/>
              </w:rPr>
              <w:t>5</w:t>
            </w:r>
            <w:r>
              <w:rPr>
                <w:sz w:val="24"/>
              </w:rPr>
              <w:t xml:space="preserve"> m.</w:t>
            </w:r>
            <w:r>
              <w:rPr>
                <w:spacing w:val="2"/>
                <w:sz w:val="24"/>
              </w:rPr>
              <w:t xml:space="preserve"> </w:t>
            </w:r>
            <w:r>
              <w:rPr>
                <w:spacing w:val="-10"/>
                <w:sz w:val="24"/>
              </w:rPr>
              <w:t>I</w:t>
            </w:r>
            <w:r w:rsidR="00A06DFC">
              <w:rPr>
                <w:spacing w:val="-10"/>
                <w:sz w:val="24"/>
              </w:rPr>
              <w:t>I</w:t>
            </w:r>
          </w:p>
          <w:p w14:paraId="4FEC92E4" w14:textId="77777777" w:rsidR="00C9721F" w:rsidRDefault="00475D1F">
            <w:pPr>
              <w:pStyle w:val="TableParagraph"/>
              <w:ind w:left="18" w:right="6"/>
              <w:jc w:val="center"/>
              <w:rPr>
                <w:sz w:val="24"/>
              </w:rPr>
            </w:pPr>
            <w:proofErr w:type="spellStart"/>
            <w:r>
              <w:rPr>
                <w:spacing w:val="-2"/>
                <w:sz w:val="24"/>
              </w:rPr>
              <w:t>ketv</w:t>
            </w:r>
            <w:proofErr w:type="spellEnd"/>
            <w:r>
              <w:rPr>
                <w:spacing w:val="-2"/>
                <w:sz w:val="24"/>
              </w:rPr>
              <w:t>.</w:t>
            </w:r>
          </w:p>
        </w:tc>
        <w:tc>
          <w:tcPr>
            <w:tcW w:w="5166" w:type="dxa"/>
          </w:tcPr>
          <w:p w14:paraId="4FEC92E5" w14:textId="68C62B48" w:rsidR="00C9721F" w:rsidRDefault="00C9721F">
            <w:pPr>
              <w:pStyle w:val="TableParagraph"/>
              <w:spacing w:before="54"/>
              <w:ind w:left="109" w:right="95"/>
              <w:jc w:val="both"/>
              <w:rPr>
                <w:sz w:val="24"/>
              </w:rPr>
            </w:pPr>
          </w:p>
        </w:tc>
      </w:tr>
      <w:tr w:rsidR="00C9721F" w14:paraId="4FEC92ED" w14:textId="77777777">
        <w:trPr>
          <w:trHeight w:val="1500"/>
        </w:trPr>
        <w:tc>
          <w:tcPr>
            <w:tcW w:w="3469" w:type="dxa"/>
          </w:tcPr>
          <w:p w14:paraId="4FEC92E8" w14:textId="6ECF22E1" w:rsidR="00C9721F" w:rsidRPr="007F7679" w:rsidRDefault="00B62E56">
            <w:pPr>
              <w:pStyle w:val="TableParagraph"/>
              <w:ind w:left="110"/>
              <w:rPr>
                <w:sz w:val="24"/>
              </w:rPr>
            </w:pPr>
            <w:r w:rsidRPr="007F7679">
              <w:rPr>
                <w:sz w:val="24"/>
              </w:rPr>
              <w:t xml:space="preserve">Metinis renginys EBPO gairių ir NKC </w:t>
            </w:r>
            <w:r w:rsidR="00594F5A" w:rsidRPr="007F7679">
              <w:rPr>
                <w:sz w:val="24"/>
              </w:rPr>
              <w:t>veiklos viešinimo tema</w:t>
            </w:r>
          </w:p>
        </w:tc>
        <w:tc>
          <w:tcPr>
            <w:tcW w:w="1563" w:type="dxa"/>
          </w:tcPr>
          <w:p w14:paraId="4FEC92EB" w14:textId="6AA92AE5" w:rsidR="00C9721F" w:rsidRDefault="000C11E0">
            <w:pPr>
              <w:pStyle w:val="TableParagraph"/>
              <w:ind w:left="18" w:right="6"/>
              <w:jc w:val="center"/>
              <w:rPr>
                <w:sz w:val="24"/>
              </w:rPr>
            </w:pPr>
            <w:r>
              <w:rPr>
                <w:sz w:val="24"/>
              </w:rPr>
              <w:t>202</w:t>
            </w:r>
            <w:r w:rsidR="00910E73">
              <w:rPr>
                <w:sz w:val="24"/>
              </w:rPr>
              <w:t>5</w:t>
            </w:r>
            <w:r>
              <w:rPr>
                <w:sz w:val="24"/>
              </w:rPr>
              <w:t xml:space="preserve"> m. III-IV </w:t>
            </w:r>
            <w:proofErr w:type="spellStart"/>
            <w:r>
              <w:rPr>
                <w:sz w:val="24"/>
              </w:rPr>
              <w:t>ketv</w:t>
            </w:r>
            <w:proofErr w:type="spellEnd"/>
            <w:r>
              <w:rPr>
                <w:sz w:val="24"/>
              </w:rPr>
              <w:t>.</w:t>
            </w:r>
          </w:p>
        </w:tc>
        <w:tc>
          <w:tcPr>
            <w:tcW w:w="5166" w:type="dxa"/>
          </w:tcPr>
          <w:p w14:paraId="4E50A8EE" w14:textId="415B5B31" w:rsidR="005E1181" w:rsidRDefault="00615DE1">
            <w:pPr>
              <w:pStyle w:val="TableParagraph"/>
              <w:spacing w:before="54"/>
              <w:ind w:left="109" w:right="96"/>
              <w:jc w:val="both"/>
              <w:rPr>
                <w:sz w:val="24"/>
              </w:rPr>
            </w:pPr>
            <w:r>
              <w:rPr>
                <w:sz w:val="24"/>
              </w:rPr>
              <w:t>Planuojama renginio tema: s</w:t>
            </w:r>
            <w:r w:rsidR="005E1181">
              <w:rPr>
                <w:sz w:val="24"/>
              </w:rPr>
              <w:t>kaidrum</w:t>
            </w:r>
            <w:r>
              <w:rPr>
                <w:sz w:val="24"/>
              </w:rPr>
              <w:t>o užtikrinimas</w:t>
            </w:r>
            <w:r w:rsidR="005E1181">
              <w:rPr>
                <w:sz w:val="24"/>
              </w:rPr>
              <w:t xml:space="preserve"> tiekimo grandinėse</w:t>
            </w:r>
            <w:r w:rsidR="007C0C23">
              <w:rPr>
                <w:sz w:val="24"/>
              </w:rPr>
              <w:t xml:space="preserve"> – </w:t>
            </w:r>
            <w:r>
              <w:rPr>
                <w:sz w:val="24"/>
              </w:rPr>
              <w:t xml:space="preserve">specialieji </w:t>
            </w:r>
            <w:r w:rsidR="007C0C23">
              <w:rPr>
                <w:sz w:val="24"/>
              </w:rPr>
              <w:t xml:space="preserve">atvejai ir </w:t>
            </w:r>
            <w:r>
              <w:rPr>
                <w:sz w:val="24"/>
              </w:rPr>
              <w:t>gerosios praktikos.</w:t>
            </w:r>
          </w:p>
          <w:p w14:paraId="4FEC92EC" w14:textId="2ED32CF2" w:rsidR="00976C54" w:rsidRDefault="00976C54">
            <w:pPr>
              <w:pStyle w:val="TableParagraph"/>
              <w:spacing w:before="54"/>
              <w:ind w:left="109" w:right="96"/>
              <w:jc w:val="both"/>
              <w:rPr>
                <w:sz w:val="24"/>
              </w:rPr>
            </w:pPr>
          </w:p>
        </w:tc>
      </w:tr>
      <w:tr w:rsidR="00C9721F" w14:paraId="4FEC930C" w14:textId="77777777">
        <w:trPr>
          <w:trHeight w:val="947"/>
        </w:trPr>
        <w:tc>
          <w:tcPr>
            <w:tcW w:w="3469" w:type="dxa"/>
          </w:tcPr>
          <w:p w14:paraId="4FEC9308" w14:textId="1DF01C7E" w:rsidR="00C9721F" w:rsidRDefault="00D351BA" w:rsidP="00CD233C">
            <w:pPr>
              <w:pStyle w:val="TableParagraph"/>
              <w:tabs>
                <w:tab w:val="left" w:pos="1501"/>
                <w:tab w:val="left" w:pos="2201"/>
              </w:tabs>
              <w:spacing w:before="54"/>
              <w:ind w:left="110" w:right="96"/>
              <w:rPr>
                <w:sz w:val="24"/>
              </w:rPr>
            </w:pPr>
            <w:r>
              <w:rPr>
                <w:spacing w:val="-2"/>
                <w:sz w:val="24"/>
              </w:rPr>
              <w:t xml:space="preserve">Dalyvavimas </w:t>
            </w:r>
            <w:r w:rsidR="00CD233C">
              <w:rPr>
                <w:spacing w:val="-2"/>
                <w:sz w:val="24"/>
              </w:rPr>
              <w:t>LR Užsienio reikalų ministerijos</w:t>
            </w:r>
            <w:r>
              <w:rPr>
                <w:spacing w:val="-2"/>
                <w:sz w:val="24"/>
              </w:rPr>
              <w:t xml:space="preserve"> </w:t>
            </w:r>
            <w:r w:rsidR="00FD62CE">
              <w:rPr>
                <w:spacing w:val="-2"/>
                <w:sz w:val="24"/>
              </w:rPr>
              <w:t xml:space="preserve">kuruojamoje </w:t>
            </w:r>
            <w:r w:rsidR="000345C7">
              <w:rPr>
                <w:spacing w:val="-2"/>
                <w:sz w:val="24"/>
              </w:rPr>
              <w:t xml:space="preserve">Nacionalinio verslo ir žmogaus teisių plano </w:t>
            </w:r>
            <w:r w:rsidR="00FD62CE">
              <w:rPr>
                <w:spacing w:val="-2"/>
                <w:sz w:val="24"/>
              </w:rPr>
              <w:t xml:space="preserve">darbo grupėje </w:t>
            </w:r>
          </w:p>
        </w:tc>
        <w:tc>
          <w:tcPr>
            <w:tcW w:w="1563" w:type="dxa"/>
          </w:tcPr>
          <w:p w14:paraId="4FEC9309" w14:textId="7618AA0C" w:rsidR="00C9721F" w:rsidRDefault="00475D1F">
            <w:pPr>
              <w:pStyle w:val="TableParagraph"/>
              <w:spacing w:before="191"/>
              <w:ind w:left="18"/>
              <w:jc w:val="center"/>
              <w:rPr>
                <w:sz w:val="24"/>
              </w:rPr>
            </w:pPr>
            <w:r>
              <w:rPr>
                <w:sz w:val="24"/>
              </w:rPr>
              <w:t>202</w:t>
            </w:r>
            <w:r w:rsidR="00910E73">
              <w:rPr>
                <w:sz w:val="24"/>
              </w:rPr>
              <w:t>5</w:t>
            </w:r>
            <w:r>
              <w:rPr>
                <w:sz w:val="24"/>
              </w:rPr>
              <w:t xml:space="preserve"> m.</w:t>
            </w:r>
            <w:r>
              <w:rPr>
                <w:spacing w:val="2"/>
                <w:sz w:val="24"/>
              </w:rPr>
              <w:t xml:space="preserve"> </w:t>
            </w:r>
            <w:r w:rsidR="00D351BA">
              <w:rPr>
                <w:spacing w:val="-10"/>
                <w:sz w:val="24"/>
              </w:rPr>
              <w:t>I-IV</w:t>
            </w:r>
          </w:p>
          <w:p w14:paraId="4FEC930A" w14:textId="77777777" w:rsidR="00C9721F" w:rsidRDefault="00475D1F">
            <w:pPr>
              <w:pStyle w:val="TableParagraph"/>
              <w:ind w:left="18" w:right="6"/>
              <w:jc w:val="center"/>
              <w:rPr>
                <w:sz w:val="24"/>
              </w:rPr>
            </w:pPr>
            <w:proofErr w:type="spellStart"/>
            <w:r>
              <w:rPr>
                <w:spacing w:val="-2"/>
                <w:sz w:val="24"/>
              </w:rPr>
              <w:t>ketv</w:t>
            </w:r>
            <w:proofErr w:type="spellEnd"/>
            <w:r>
              <w:rPr>
                <w:spacing w:val="-2"/>
                <w:sz w:val="24"/>
              </w:rPr>
              <w:t>.</w:t>
            </w:r>
          </w:p>
        </w:tc>
        <w:tc>
          <w:tcPr>
            <w:tcW w:w="5166" w:type="dxa"/>
          </w:tcPr>
          <w:p w14:paraId="4FEC930B" w14:textId="0AA7712E" w:rsidR="00C9721F" w:rsidRDefault="00C9721F">
            <w:pPr>
              <w:pStyle w:val="TableParagraph"/>
              <w:spacing w:before="54"/>
              <w:ind w:left="109" w:right="95"/>
              <w:jc w:val="both"/>
              <w:rPr>
                <w:sz w:val="24"/>
              </w:rPr>
            </w:pPr>
          </w:p>
        </w:tc>
      </w:tr>
    </w:tbl>
    <w:p w14:paraId="4FEC930D" w14:textId="77777777" w:rsidR="00C9721F" w:rsidRDefault="00C9721F">
      <w:pPr>
        <w:jc w:val="both"/>
        <w:rPr>
          <w:sz w:val="24"/>
        </w:rPr>
        <w:sectPr w:rsidR="00C9721F" w:rsidSect="00A44E73">
          <w:type w:val="continuous"/>
          <w:pgSz w:w="11910" w:h="16840"/>
          <w:pgMar w:top="180" w:right="460" w:bottom="1323" w:left="1020" w:header="567" w:footer="567" w:gutter="0"/>
          <w:cols w:space="1296"/>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5"/>
        <w:gridCol w:w="1562"/>
        <w:gridCol w:w="5205"/>
      </w:tblGrid>
      <w:tr w:rsidR="00C9721F" w14:paraId="4FEC9361" w14:textId="77777777">
        <w:trPr>
          <w:trHeight w:val="515"/>
        </w:trPr>
        <w:tc>
          <w:tcPr>
            <w:tcW w:w="10192" w:type="dxa"/>
            <w:gridSpan w:val="3"/>
            <w:shd w:val="clear" w:color="auto" w:fill="9CC2E4"/>
          </w:tcPr>
          <w:p w14:paraId="4FEC9360" w14:textId="77777777" w:rsidR="00C9721F" w:rsidRDefault="00475D1F">
            <w:pPr>
              <w:pStyle w:val="TableParagraph"/>
              <w:spacing w:before="119"/>
              <w:ind w:right="1"/>
              <w:jc w:val="center"/>
              <w:rPr>
                <w:b/>
                <w:i/>
                <w:sz w:val="24"/>
              </w:rPr>
            </w:pPr>
            <w:r>
              <w:rPr>
                <w:b/>
                <w:i/>
                <w:sz w:val="24"/>
              </w:rPr>
              <w:t>Tarptautinis</w:t>
            </w:r>
            <w:r>
              <w:rPr>
                <w:b/>
                <w:i/>
                <w:spacing w:val="-1"/>
                <w:sz w:val="24"/>
              </w:rPr>
              <w:t xml:space="preserve"> </w:t>
            </w:r>
            <w:r>
              <w:rPr>
                <w:b/>
                <w:i/>
                <w:spacing w:val="-2"/>
                <w:sz w:val="24"/>
              </w:rPr>
              <w:t>bendradarbiavimas</w:t>
            </w:r>
          </w:p>
        </w:tc>
      </w:tr>
      <w:tr w:rsidR="00C9721F" w14:paraId="4FEC9364" w14:textId="77777777">
        <w:trPr>
          <w:trHeight w:val="2483"/>
        </w:trPr>
        <w:tc>
          <w:tcPr>
            <w:tcW w:w="10192" w:type="dxa"/>
            <w:gridSpan w:val="3"/>
          </w:tcPr>
          <w:p w14:paraId="4FEC9362" w14:textId="77777777" w:rsidR="00C9721F" w:rsidRDefault="00475D1F">
            <w:pPr>
              <w:pStyle w:val="TableParagraph"/>
              <w:ind w:left="100" w:right="99"/>
              <w:jc w:val="both"/>
              <w:rPr>
                <w:sz w:val="24"/>
              </w:rPr>
            </w:pPr>
            <w:r>
              <w:rPr>
                <w:sz w:val="24"/>
              </w:rPr>
              <w:t>Lietuvos stojimo į EBPO metu, funkcionalaus ir aktyvaus nacionalinio koordinacinio centro klausimas, buvo vienas iš svarbiausių EBPO Investicijų komitete. Sekdama geruoju Skandinavijos šalių nacionalinių koordinacinių centrų pavyzdžiu, Lietuva pasirinko nepriklausomo NKC modelį, kurio pagrindas</w:t>
            </w:r>
            <w:r>
              <w:rPr>
                <w:spacing w:val="-15"/>
                <w:sz w:val="24"/>
              </w:rPr>
              <w:t xml:space="preserve"> </w:t>
            </w:r>
            <w:r>
              <w:rPr>
                <w:sz w:val="24"/>
              </w:rPr>
              <w:t>nepriklausomi</w:t>
            </w:r>
            <w:r>
              <w:rPr>
                <w:spacing w:val="-15"/>
                <w:sz w:val="24"/>
              </w:rPr>
              <w:t xml:space="preserve"> </w:t>
            </w:r>
            <w:r>
              <w:rPr>
                <w:sz w:val="24"/>
              </w:rPr>
              <w:t>ekspertai.</w:t>
            </w:r>
            <w:r>
              <w:rPr>
                <w:spacing w:val="-15"/>
                <w:sz w:val="24"/>
              </w:rPr>
              <w:t xml:space="preserve"> </w:t>
            </w:r>
            <w:r>
              <w:rPr>
                <w:sz w:val="24"/>
              </w:rPr>
              <w:t>Būtent</w:t>
            </w:r>
            <w:r>
              <w:rPr>
                <w:spacing w:val="-15"/>
                <w:sz w:val="24"/>
              </w:rPr>
              <w:t xml:space="preserve"> </w:t>
            </w:r>
            <w:r>
              <w:rPr>
                <w:sz w:val="24"/>
              </w:rPr>
              <w:t>nepriklausomi</w:t>
            </w:r>
            <w:r>
              <w:rPr>
                <w:spacing w:val="-15"/>
                <w:sz w:val="24"/>
              </w:rPr>
              <w:t xml:space="preserve"> </w:t>
            </w:r>
            <w:r>
              <w:rPr>
                <w:sz w:val="24"/>
              </w:rPr>
              <w:t>ekspertai</w:t>
            </w:r>
            <w:r>
              <w:rPr>
                <w:spacing w:val="-15"/>
                <w:sz w:val="24"/>
              </w:rPr>
              <w:t xml:space="preserve"> </w:t>
            </w:r>
            <w:r>
              <w:rPr>
                <w:sz w:val="24"/>
              </w:rPr>
              <w:t>atstovauja</w:t>
            </w:r>
            <w:r>
              <w:rPr>
                <w:spacing w:val="-15"/>
                <w:sz w:val="24"/>
              </w:rPr>
              <w:t xml:space="preserve"> </w:t>
            </w:r>
            <w:r>
              <w:rPr>
                <w:sz w:val="24"/>
              </w:rPr>
              <w:t>Lietuvos</w:t>
            </w:r>
            <w:r>
              <w:rPr>
                <w:spacing w:val="-15"/>
                <w:sz w:val="24"/>
              </w:rPr>
              <w:t xml:space="preserve"> </w:t>
            </w:r>
            <w:r>
              <w:rPr>
                <w:sz w:val="24"/>
              </w:rPr>
              <w:t>NKC</w:t>
            </w:r>
            <w:r>
              <w:rPr>
                <w:spacing w:val="-15"/>
                <w:sz w:val="24"/>
              </w:rPr>
              <w:t xml:space="preserve"> </w:t>
            </w:r>
            <w:r>
              <w:rPr>
                <w:sz w:val="24"/>
              </w:rPr>
              <w:t>tarptautiniu mastu, bendradarbiaujant su kitų valstybių NKC tinklo susitikimuose. Atsakingas verslas nėra apibrėžiamas valstybių sienomis ir yra tarptautiniu mastu pripažįstama sąvoka. Pačios daugiašalės įmonės,</w:t>
            </w:r>
            <w:r>
              <w:rPr>
                <w:spacing w:val="-13"/>
                <w:sz w:val="24"/>
              </w:rPr>
              <w:t xml:space="preserve"> </w:t>
            </w:r>
            <w:r>
              <w:rPr>
                <w:sz w:val="24"/>
              </w:rPr>
              <w:t>kurioms</w:t>
            </w:r>
            <w:r>
              <w:rPr>
                <w:spacing w:val="-10"/>
                <w:sz w:val="24"/>
              </w:rPr>
              <w:t xml:space="preserve"> </w:t>
            </w:r>
            <w:r>
              <w:rPr>
                <w:sz w:val="24"/>
              </w:rPr>
              <w:t>yra</w:t>
            </w:r>
            <w:r>
              <w:rPr>
                <w:spacing w:val="-14"/>
                <w:sz w:val="24"/>
              </w:rPr>
              <w:t xml:space="preserve"> </w:t>
            </w:r>
            <w:r>
              <w:rPr>
                <w:sz w:val="24"/>
              </w:rPr>
              <w:t>skirtos</w:t>
            </w:r>
            <w:r>
              <w:rPr>
                <w:spacing w:val="-13"/>
                <w:sz w:val="24"/>
              </w:rPr>
              <w:t xml:space="preserve"> </w:t>
            </w:r>
            <w:r>
              <w:rPr>
                <w:sz w:val="24"/>
              </w:rPr>
              <w:t>EBPO</w:t>
            </w:r>
            <w:r>
              <w:rPr>
                <w:spacing w:val="-9"/>
                <w:sz w:val="24"/>
              </w:rPr>
              <w:t xml:space="preserve"> </w:t>
            </w:r>
            <w:r>
              <w:rPr>
                <w:sz w:val="24"/>
              </w:rPr>
              <w:t>gairės,</w:t>
            </w:r>
            <w:r>
              <w:rPr>
                <w:spacing w:val="-8"/>
                <w:sz w:val="24"/>
              </w:rPr>
              <w:t xml:space="preserve"> </w:t>
            </w:r>
            <w:r>
              <w:rPr>
                <w:sz w:val="24"/>
              </w:rPr>
              <w:t>yra</w:t>
            </w:r>
            <w:r>
              <w:rPr>
                <w:spacing w:val="-12"/>
                <w:sz w:val="24"/>
              </w:rPr>
              <w:t xml:space="preserve"> </w:t>
            </w:r>
            <w:r>
              <w:rPr>
                <w:sz w:val="24"/>
              </w:rPr>
              <w:t>apibrėžiamos</w:t>
            </w:r>
            <w:r>
              <w:rPr>
                <w:spacing w:val="-13"/>
                <w:sz w:val="24"/>
              </w:rPr>
              <w:t xml:space="preserve"> </w:t>
            </w:r>
            <w:r>
              <w:rPr>
                <w:sz w:val="24"/>
              </w:rPr>
              <w:t>kaip</w:t>
            </w:r>
            <w:r>
              <w:rPr>
                <w:spacing w:val="-13"/>
                <w:sz w:val="24"/>
              </w:rPr>
              <w:t xml:space="preserve"> </w:t>
            </w:r>
            <w:r>
              <w:rPr>
                <w:sz w:val="24"/>
              </w:rPr>
              <w:t>įmonės,</w:t>
            </w:r>
            <w:r>
              <w:rPr>
                <w:spacing w:val="-13"/>
                <w:sz w:val="24"/>
              </w:rPr>
              <w:t xml:space="preserve"> </w:t>
            </w:r>
            <w:r>
              <w:rPr>
                <w:sz w:val="24"/>
              </w:rPr>
              <w:t>kurių</w:t>
            </w:r>
            <w:r>
              <w:rPr>
                <w:spacing w:val="-13"/>
                <w:sz w:val="24"/>
              </w:rPr>
              <w:t xml:space="preserve"> </w:t>
            </w:r>
            <w:r>
              <w:rPr>
                <w:sz w:val="24"/>
              </w:rPr>
              <w:t>veikla</w:t>
            </w:r>
            <w:r>
              <w:rPr>
                <w:spacing w:val="-14"/>
                <w:sz w:val="24"/>
              </w:rPr>
              <w:t xml:space="preserve"> </w:t>
            </w:r>
            <w:r>
              <w:rPr>
                <w:sz w:val="24"/>
              </w:rPr>
              <w:t>ar</w:t>
            </w:r>
            <w:r>
              <w:rPr>
                <w:spacing w:val="-14"/>
                <w:sz w:val="24"/>
              </w:rPr>
              <w:t xml:space="preserve"> </w:t>
            </w:r>
            <w:r>
              <w:rPr>
                <w:sz w:val="24"/>
              </w:rPr>
              <w:t>veiklos</w:t>
            </w:r>
            <w:r>
              <w:rPr>
                <w:spacing w:val="-13"/>
                <w:sz w:val="24"/>
              </w:rPr>
              <w:t xml:space="preserve"> </w:t>
            </w:r>
            <w:r>
              <w:rPr>
                <w:sz w:val="24"/>
              </w:rPr>
              <w:t>poveikis peržengia</w:t>
            </w:r>
            <w:r>
              <w:rPr>
                <w:spacing w:val="23"/>
                <w:sz w:val="24"/>
              </w:rPr>
              <w:t xml:space="preserve"> </w:t>
            </w:r>
            <w:r>
              <w:rPr>
                <w:sz w:val="24"/>
              </w:rPr>
              <w:t>vienos</w:t>
            </w:r>
            <w:r>
              <w:rPr>
                <w:spacing w:val="26"/>
                <w:sz w:val="24"/>
              </w:rPr>
              <w:t xml:space="preserve"> </w:t>
            </w:r>
            <w:r>
              <w:rPr>
                <w:sz w:val="24"/>
              </w:rPr>
              <w:t>valstybės</w:t>
            </w:r>
            <w:r>
              <w:rPr>
                <w:spacing w:val="27"/>
                <w:sz w:val="24"/>
              </w:rPr>
              <w:t xml:space="preserve"> </w:t>
            </w:r>
            <w:r>
              <w:rPr>
                <w:sz w:val="24"/>
              </w:rPr>
              <w:t>teritoriją.</w:t>
            </w:r>
            <w:r>
              <w:rPr>
                <w:spacing w:val="26"/>
                <w:sz w:val="24"/>
              </w:rPr>
              <w:t xml:space="preserve"> </w:t>
            </w:r>
            <w:r>
              <w:rPr>
                <w:sz w:val="24"/>
              </w:rPr>
              <w:t>Todėl</w:t>
            </w:r>
            <w:r>
              <w:rPr>
                <w:spacing w:val="27"/>
                <w:sz w:val="24"/>
              </w:rPr>
              <w:t xml:space="preserve"> </w:t>
            </w:r>
            <w:r>
              <w:rPr>
                <w:sz w:val="24"/>
              </w:rPr>
              <w:t>bendradarbiavimas</w:t>
            </w:r>
            <w:r>
              <w:rPr>
                <w:spacing w:val="27"/>
                <w:sz w:val="24"/>
              </w:rPr>
              <w:t xml:space="preserve"> </w:t>
            </w:r>
            <w:r>
              <w:rPr>
                <w:sz w:val="24"/>
              </w:rPr>
              <w:t>su</w:t>
            </w:r>
            <w:r>
              <w:rPr>
                <w:spacing w:val="26"/>
                <w:sz w:val="24"/>
              </w:rPr>
              <w:t xml:space="preserve"> </w:t>
            </w:r>
            <w:r>
              <w:rPr>
                <w:sz w:val="24"/>
              </w:rPr>
              <w:t>kitomis</w:t>
            </w:r>
            <w:r>
              <w:rPr>
                <w:spacing w:val="26"/>
                <w:sz w:val="24"/>
              </w:rPr>
              <w:t xml:space="preserve"> </w:t>
            </w:r>
            <w:r>
              <w:rPr>
                <w:sz w:val="24"/>
              </w:rPr>
              <w:t>šalimis</w:t>
            </w:r>
            <w:r>
              <w:rPr>
                <w:spacing w:val="27"/>
                <w:sz w:val="24"/>
              </w:rPr>
              <w:t xml:space="preserve"> </w:t>
            </w:r>
            <w:r>
              <w:rPr>
                <w:sz w:val="24"/>
              </w:rPr>
              <w:t>ir</w:t>
            </w:r>
            <w:r>
              <w:rPr>
                <w:spacing w:val="26"/>
                <w:sz w:val="24"/>
              </w:rPr>
              <w:t xml:space="preserve"> </w:t>
            </w:r>
            <w:r>
              <w:rPr>
                <w:sz w:val="24"/>
              </w:rPr>
              <w:t>jų</w:t>
            </w:r>
            <w:r>
              <w:rPr>
                <w:spacing w:val="28"/>
                <w:sz w:val="24"/>
              </w:rPr>
              <w:t xml:space="preserve"> </w:t>
            </w:r>
            <w:r>
              <w:rPr>
                <w:spacing w:val="-2"/>
                <w:sz w:val="24"/>
              </w:rPr>
              <w:t>nacionaliniais</w:t>
            </w:r>
          </w:p>
          <w:p w14:paraId="4FEC9363" w14:textId="77777777" w:rsidR="00C9721F" w:rsidRDefault="00475D1F">
            <w:pPr>
              <w:pStyle w:val="TableParagraph"/>
              <w:spacing w:line="261" w:lineRule="exact"/>
              <w:ind w:left="100"/>
              <w:jc w:val="both"/>
              <w:rPr>
                <w:sz w:val="24"/>
              </w:rPr>
            </w:pPr>
            <w:r>
              <w:rPr>
                <w:sz w:val="24"/>
              </w:rPr>
              <w:t>koordinaciniais</w:t>
            </w:r>
            <w:r>
              <w:rPr>
                <w:spacing w:val="-5"/>
                <w:sz w:val="24"/>
              </w:rPr>
              <w:t xml:space="preserve"> </w:t>
            </w:r>
            <w:r>
              <w:rPr>
                <w:sz w:val="24"/>
              </w:rPr>
              <w:t>centrais</w:t>
            </w:r>
            <w:r>
              <w:rPr>
                <w:spacing w:val="-1"/>
                <w:sz w:val="24"/>
              </w:rPr>
              <w:t xml:space="preserve"> </w:t>
            </w:r>
            <w:r>
              <w:rPr>
                <w:sz w:val="24"/>
              </w:rPr>
              <w:t>yra</w:t>
            </w:r>
            <w:r>
              <w:rPr>
                <w:spacing w:val="-2"/>
                <w:sz w:val="24"/>
              </w:rPr>
              <w:t xml:space="preserve"> </w:t>
            </w:r>
            <w:r>
              <w:rPr>
                <w:sz w:val="24"/>
              </w:rPr>
              <w:t>kertinė</w:t>
            </w:r>
            <w:r>
              <w:rPr>
                <w:spacing w:val="-2"/>
                <w:sz w:val="24"/>
              </w:rPr>
              <w:t xml:space="preserve"> funkcija.</w:t>
            </w:r>
          </w:p>
        </w:tc>
      </w:tr>
      <w:tr w:rsidR="00C9721F" w14:paraId="4FEC9368" w14:textId="77777777">
        <w:trPr>
          <w:trHeight w:val="671"/>
        </w:trPr>
        <w:tc>
          <w:tcPr>
            <w:tcW w:w="3425" w:type="dxa"/>
          </w:tcPr>
          <w:p w14:paraId="4FEC9365" w14:textId="77777777" w:rsidR="00C9721F" w:rsidRDefault="00475D1F">
            <w:pPr>
              <w:pStyle w:val="TableParagraph"/>
              <w:spacing w:before="54"/>
              <w:ind w:left="702"/>
              <w:rPr>
                <w:i/>
                <w:sz w:val="24"/>
              </w:rPr>
            </w:pPr>
            <w:r>
              <w:rPr>
                <w:i/>
                <w:sz w:val="24"/>
              </w:rPr>
              <w:t>Veiklos</w:t>
            </w:r>
            <w:r>
              <w:rPr>
                <w:i/>
                <w:spacing w:val="-4"/>
                <w:sz w:val="24"/>
              </w:rPr>
              <w:t xml:space="preserve"> </w:t>
            </w:r>
            <w:r>
              <w:rPr>
                <w:i/>
                <w:spacing w:val="-2"/>
                <w:sz w:val="24"/>
              </w:rPr>
              <w:t>pavadinimas</w:t>
            </w:r>
          </w:p>
        </w:tc>
        <w:tc>
          <w:tcPr>
            <w:tcW w:w="1562" w:type="dxa"/>
          </w:tcPr>
          <w:p w14:paraId="4FEC9366" w14:textId="77777777" w:rsidR="00C9721F" w:rsidRDefault="00475D1F">
            <w:pPr>
              <w:pStyle w:val="TableParagraph"/>
              <w:spacing w:before="54"/>
              <w:ind w:left="324" w:hanging="233"/>
              <w:rPr>
                <w:i/>
                <w:sz w:val="24"/>
              </w:rPr>
            </w:pPr>
            <w:r>
              <w:rPr>
                <w:i/>
                <w:spacing w:val="-2"/>
                <w:sz w:val="24"/>
              </w:rPr>
              <w:t>Įgyvendinimo terminas</w:t>
            </w:r>
          </w:p>
        </w:tc>
        <w:tc>
          <w:tcPr>
            <w:tcW w:w="5205" w:type="dxa"/>
          </w:tcPr>
          <w:p w14:paraId="4FEC9367" w14:textId="77777777" w:rsidR="00C9721F" w:rsidRDefault="00475D1F">
            <w:pPr>
              <w:pStyle w:val="TableParagraph"/>
              <w:spacing w:before="54"/>
              <w:ind w:right="23"/>
              <w:jc w:val="center"/>
              <w:rPr>
                <w:i/>
                <w:sz w:val="24"/>
              </w:rPr>
            </w:pPr>
            <w:r>
              <w:rPr>
                <w:i/>
                <w:spacing w:val="-2"/>
                <w:sz w:val="24"/>
              </w:rPr>
              <w:t>Komentaras</w:t>
            </w:r>
          </w:p>
        </w:tc>
      </w:tr>
      <w:tr w:rsidR="005B4B7D" w14:paraId="4B677EFF" w14:textId="77777777">
        <w:trPr>
          <w:trHeight w:val="671"/>
        </w:trPr>
        <w:tc>
          <w:tcPr>
            <w:tcW w:w="3425" w:type="dxa"/>
          </w:tcPr>
          <w:p w14:paraId="69C7E00E" w14:textId="510D53D5" w:rsidR="005B4B7D" w:rsidRPr="005B4B7D" w:rsidRDefault="00005CAF" w:rsidP="00844018">
            <w:pPr>
              <w:pStyle w:val="TableParagraph"/>
              <w:spacing w:before="54"/>
              <w:ind w:left="164" w:right="138"/>
              <w:jc w:val="both"/>
              <w:rPr>
                <w:iCs/>
                <w:sz w:val="24"/>
              </w:rPr>
            </w:pPr>
            <w:r>
              <w:rPr>
                <w:iCs/>
                <w:sz w:val="24"/>
              </w:rPr>
              <w:t>Dalyvavimas Nyderlandų NKC vertinime (</w:t>
            </w:r>
            <w:proofErr w:type="spellStart"/>
            <w:r w:rsidRPr="00005CAF">
              <w:rPr>
                <w:i/>
                <w:sz w:val="24"/>
              </w:rPr>
              <w:t>peer</w:t>
            </w:r>
            <w:proofErr w:type="spellEnd"/>
            <w:r w:rsidRPr="00005CAF">
              <w:rPr>
                <w:i/>
                <w:sz w:val="24"/>
              </w:rPr>
              <w:t xml:space="preserve"> </w:t>
            </w:r>
            <w:proofErr w:type="spellStart"/>
            <w:r w:rsidRPr="00005CAF">
              <w:rPr>
                <w:i/>
                <w:sz w:val="24"/>
              </w:rPr>
              <w:t>review</w:t>
            </w:r>
            <w:proofErr w:type="spellEnd"/>
            <w:r>
              <w:rPr>
                <w:iCs/>
                <w:sz w:val="24"/>
              </w:rPr>
              <w:t>) bendradarbiaujant su Danijos NKC.</w:t>
            </w:r>
          </w:p>
        </w:tc>
        <w:tc>
          <w:tcPr>
            <w:tcW w:w="1562" w:type="dxa"/>
          </w:tcPr>
          <w:p w14:paraId="33EB62A9" w14:textId="03779853" w:rsidR="005B4B7D" w:rsidRPr="00910E73" w:rsidRDefault="00005CAF" w:rsidP="00844018">
            <w:pPr>
              <w:pStyle w:val="TableParagraph"/>
              <w:spacing w:before="54"/>
              <w:ind w:left="324" w:hanging="233"/>
              <w:jc w:val="center"/>
              <w:rPr>
                <w:iCs/>
                <w:spacing w:val="-2"/>
                <w:sz w:val="24"/>
              </w:rPr>
            </w:pPr>
            <w:r w:rsidRPr="00910E73">
              <w:rPr>
                <w:iCs/>
                <w:spacing w:val="-2"/>
                <w:sz w:val="24"/>
              </w:rPr>
              <w:t xml:space="preserve">2025 m. </w:t>
            </w:r>
            <w:r w:rsidR="00910E73" w:rsidRPr="00910E73">
              <w:rPr>
                <w:iCs/>
                <w:spacing w:val="-2"/>
                <w:sz w:val="24"/>
              </w:rPr>
              <w:t xml:space="preserve">II </w:t>
            </w:r>
            <w:proofErr w:type="spellStart"/>
            <w:r w:rsidR="00910E73" w:rsidRPr="00910E73">
              <w:rPr>
                <w:iCs/>
                <w:spacing w:val="-2"/>
                <w:sz w:val="24"/>
              </w:rPr>
              <w:t>ketv</w:t>
            </w:r>
            <w:proofErr w:type="spellEnd"/>
            <w:r w:rsidR="00910E73" w:rsidRPr="00910E73">
              <w:rPr>
                <w:iCs/>
                <w:spacing w:val="-2"/>
                <w:sz w:val="24"/>
              </w:rPr>
              <w:t>.</w:t>
            </w:r>
          </w:p>
        </w:tc>
        <w:tc>
          <w:tcPr>
            <w:tcW w:w="5205" w:type="dxa"/>
          </w:tcPr>
          <w:p w14:paraId="6834C49C" w14:textId="77777777" w:rsidR="005B4B7D" w:rsidRDefault="005B4B7D">
            <w:pPr>
              <w:pStyle w:val="TableParagraph"/>
              <w:spacing w:before="54"/>
              <w:ind w:right="23"/>
              <w:jc w:val="center"/>
              <w:rPr>
                <w:i/>
                <w:spacing w:val="-2"/>
                <w:sz w:val="24"/>
              </w:rPr>
            </w:pPr>
          </w:p>
        </w:tc>
      </w:tr>
      <w:tr w:rsidR="00C9721F" w14:paraId="4FEC9374" w14:textId="77777777">
        <w:trPr>
          <w:trHeight w:val="947"/>
        </w:trPr>
        <w:tc>
          <w:tcPr>
            <w:tcW w:w="3425" w:type="dxa"/>
          </w:tcPr>
          <w:p w14:paraId="4FEC9370" w14:textId="33A6EF42" w:rsidR="00C9721F" w:rsidRDefault="00475D1F">
            <w:pPr>
              <w:pStyle w:val="TableParagraph"/>
              <w:spacing w:before="54"/>
              <w:ind w:left="117" w:right="135"/>
              <w:jc w:val="both"/>
              <w:rPr>
                <w:sz w:val="24"/>
              </w:rPr>
            </w:pPr>
            <w:proofErr w:type="spellStart"/>
            <w:r>
              <w:rPr>
                <w:sz w:val="24"/>
              </w:rPr>
              <w:t>Nordic</w:t>
            </w:r>
            <w:proofErr w:type="spellEnd"/>
            <w:r>
              <w:rPr>
                <w:sz w:val="24"/>
              </w:rPr>
              <w:t xml:space="preserve">–Baltic NCP Network </w:t>
            </w:r>
            <w:proofErr w:type="spellStart"/>
            <w:r>
              <w:rPr>
                <w:sz w:val="24"/>
              </w:rPr>
              <w:t>Capacity</w:t>
            </w:r>
            <w:proofErr w:type="spellEnd"/>
            <w:r>
              <w:rPr>
                <w:sz w:val="24"/>
              </w:rPr>
              <w:t xml:space="preserve"> </w:t>
            </w:r>
            <w:proofErr w:type="spellStart"/>
            <w:r>
              <w:rPr>
                <w:sz w:val="24"/>
              </w:rPr>
              <w:t>Building</w:t>
            </w:r>
            <w:proofErr w:type="spellEnd"/>
            <w:r>
              <w:rPr>
                <w:sz w:val="24"/>
              </w:rPr>
              <w:t xml:space="preserve"> seminaras </w:t>
            </w:r>
            <w:r w:rsidR="00276AEB">
              <w:rPr>
                <w:spacing w:val="-2"/>
                <w:sz w:val="24"/>
              </w:rPr>
              <w:t>Taline</w:t>
            </w:r>
            <w:r>
              <w:rPr>
                <w:spacing w:val="-2"/>
                <w:sz w:val="24"/>
              </w:rPr>
              <w:t>.</w:t>
            </w:r>
          </w:p>
        </w:tc>
        <w:tc>
          <w:tcPr>
            <w:tcW w:w="1562" w:type="dxa"/>
          </w:tcPr>
          <w:p w14:paraId="4FEC9371" w14:textId="1B745734" w:rsidR="00C9721F" w:rsidRDefault="00475D1F">
            <w:pPr>
              <w:pStyle w:val="TableParagraph"/>
              <w:spacing w:before="193"/>
              <w:ind w:right="62"/>
              <w:jc w:val="center"/>
              <w:rPr>
                <w:sz w:val="24"/>
              </w:rPr>
            </w:pPr>
            <w:r>
              <w:rPr>
                <w:sz w:val="24"/>
              </w:rPr>
              <w:t>202</w:t>
            </w:r>
            <w:r w:rsidR="00910E73">
              <w:rPr>
                <w:sz w:val="24"/>
              </w:rPr>
              <w:t>5</w:t>
            </w:r>
            <w:r>
              <w:rPr>
                <w:sz w:val="24"/>
              </w:rPr>
              <w:t xml:space="preserve"> </w:t>
            </w:r>
            <w:r>
              <w:rPr>
                <w:spacing w:val="-5"/>
                <w:sz w:val="24"/>
              </w:rPr>
              <w:t>m.</w:t>
            </w:r>
          </w:p>
          <w:p w14:paraId="4FEC9372" w14:textId="77777777" w:rsidR="00C9721F" w:rsidRDefault="00475D1F">
            <w:pPr>
              <w:pStyle w:val="TableParagraph"/>
              <w:ind w:right="64"/>
              <w:jc w:val="center"/>
              <w:rPr>
                <w:sz w:val="24"/>
              </w:rPr>
            </w:pPr>
            <w:r>
              <w:rPr>
                <w:sz w:val="24"/>
              </w:rPr>
              <w:t>gegužės</w:t>
            </w:r>
            <w:r>
              <w:rPr>
                <w:spacing w:val="-6"/>
                <w:sz w:val="24"/>
              </w:rPr>
              <w:t xml:space="preserve"> </w:t>
            </w:r>
            <w:r>
              <w:rPr>
                <w:spacing w:val="-4"/>
                <w:sz w:val="24"/>
              </w:rPr>
              <w:t>mėn.</w:t>
            </w:r>
          </w:p>
        </w:tc>
        <w:tc>
          <w:tcPr>
            <w:tcW w:w="5205" w:type="dxa"/>
          </w:tcPr>
          <w:p w14:paraId="4FEC9373" w14:textId="77777777" w:rsidR="00C9721F" w:rsidRDefault="00475D1F">
            <w:pPr>
              <w:pStyle w:val="TableParagraph"/>
              <w:spacing w:before="54"/>
              <w:ind w:left="70" w:right="94"/>
              <w:jc w:val="both"/>
              <w:rPr>
                <w:sz w:val="24"/>
              </w:rPr>
            </w:pPr>
            <w:r>
              <w:rPr>
                <w:sz w:val="24"/>
              </w:rPr>
              <w:t>Dalyvavimas yra aktualus pratęsiant ir palaikant bendradarbiavimą su kitų šalių NKC tinklo nariais Baltijos-Skandinavijos regione.</w:t>
            </w:r>
          </w:p>
        </w:tc>
      </w:tr>
      <w:tr w:rsidR="00C9721F" w14:paraId="4FEC937A" w14:textId="77777777">
        <w:trPr>
          <w:trHeight w:val="1226"/>
        </w:trPr>
        <w:tc>
          <w:tcPr>
            <w:tcW w:w="3425" w:type="dxa"/>
          </w:tcPr>
          <w:p w14:paraId="4FEC9375" w14:textId="29AE46DC" w:rsidR="00C9721F" w:rsidRDefault="00475D1F">
            <w:pPr>
              <w:pStyle w:val="TableParagraph"/>
              <w:spacing w:before="56"/>
              <w:ind w:left="117" w:right="131"/>
              <w:jc w:val="both"/>
              <w:rPr>
                <w:sz w:val="24"/>
              </w:rPr>
            </w:pPr>
            <w:r>
              <w:rPr>
                <w:sz w:val="24"/>
              </w:rPr>
              <w:lastRenderedPageBreak/>
              <w:t>EBPO Atsakingo verslo darbo grupės posėdis bei Nacionalinių koordinacinių</w:t>
            </w:r>
            <w:r>
              <w:rPr>
                <w:spacing w:val="-3"/>
                <w:sz w:val="24"/>
              </w:rPr>
              <w:t xml:space="preserve"> </w:t>
            </w:r>
            <w:r>
              <w:rPr>
                <w:sz w:val="24"/>
              </w:rPr>
              <w:t>centrų</w:t>
            </w:r>
            <w:r>
              <w:rPr>
                <w:spacing w:val="-4"/>
                <w:sz w:val="24"/>
              </w:rPr>
              <w:t xml:space="preserve"> </w:t>
            </w:r>
            <w:r>
              <w:rPr>
                <w:sz w:val="24"/>
              </w:rPr>
              <w:t>susitikimas dėl atsakingo verslo Paryžiuje.</w:t>
            </w:r>
          </w:p>
        </w:tc>
        <w:tc>
          <w:tcPr>
            <w:tcW w:w="1562" w:type="dxa"/>
          </w:tcPr>
          <w:p w14:paraId="4FEC9376" w14:textId="77777777" w:rsidR="00C9721F" w:rsidRDefault="00C9721F">
            <w:pPr>
              <w:pStyle w:val="TableParagraph"/>
              <w:spacing w:before="57"/>
              <w:rPr>
                <w:sz w:val="24"/>
              </w:rPr>
            </w:pPr>
          </w:p>
          <w:p w14:paraId="4FEC9377" w14:textId="5BF2ED5B" w:rsidR="00C9721F" w:rsidRDefault="00475D1F">
            <w:pPr>
              <w:pStyle w:val="TableParagraph"/>
              <w:ind w:right="62"/>
              <w:jc w:val="center"/>
              <w:rPr>
                <w:sz w:val="24"/>
              </w:rPr>
            </w:pPr>
            <w:r>
              <w:rPr>
                <w:sz w:val="24"/>
              </w:rPr>
              <w:t>202</w:t>
            </w:r>
            <w:r w:rsidR="00910E73">
              <w:rPr>
                <w:sz w:val="24"/>
              </w:rPr>
              <w:t>5</w:t>
            </w:r>
            <w:r>
              <w:rPr>
                <w:sz w:val="24"/>
              </w:rPr>
              <w:t xml:space="preserve"> </w:t>
            </w:r>
            <w:r>
              <w:rPr>
                <w:spacing w:val="-5"/>
                <w:sz w:val="24"/>
              </w:rPr>
              <w:t>m.</w:t>
            </w:r>
          </w:p>
          <w:p w14:paraId="4FEC9378" w14:textId="05E2B459" w:rsidR="00C9721F" w:rsidRDefault="009E687A">
            <w:pPr>
              <w:pStyle w:val="TableParagraph"/>
              <w:ind w:right="61"/>
              <w:jc w:val="center"/>
              <w:rPr>
                <w:sz w:val="24"/>
              </w:rPr>
            </w:pPr>
            <w:r>
              <w:rPr>
                <w:sz w:val="24"/>
              </w:rPr>
              <w:t xml:space="preserve">kovo </w:t>
            </w:r>
            <w:r>
              <w:rPr>
                <w:spacing w:val="-4"/>
                <w:sz w:val="24"/>
              </w:rPr>
              <w:t>mėn.</w:t>
            </w:r>
          </w:p>
        </w:tc>
        <w:tc>
          <w:tcPr>
            <w:tcW w:w="5205" w:type="dxa"/>
            <w:vMerge w:val="restart"/>
          </w:tcPr>
          <w:p w14:paraId="4FEC9379" w14:textId="77777777" w:rsidR="00C9721F" w:rsidRDefault="00475D1F">
            <w:pPr>
              <w:pStyle w:val="TableParagraph"/>
              <w:spacing w:before="56"/>
              <w:ind w:left="70" w:right="93"/>
              <w:jc w:val="both"/>
              <w:rPr>
                <w:sz w:val="24"/>
              </w:rPr>
            </w:pPr>
            <w:r>
              <w:rPr>
                <w:sz w:val="24"/>
              </w:rPr>
              <w:t>Dalyvavimas yra aktualus Lietuvos NKC veiklos tęstinumo užtikrinimui. Pagrindinis NKC tikslas – didinti</w:t>
            </w:r>
            <w:r>
              <w:rPr>
                <w:spacing w:val="-15"/>
                <w:sz w:val="24"/>
              </w:rPr>
              <w:t xml:space="preserve"> </w:t>
            </w:r>
            <w:r>
              <w:rPr>
                <w:sz w:val="24"/>
              </w:rPr>
              <w:t>EBPO</w:t>
            </w:r>
            <w:r>
              <w:rPr>
                <w:spacing w:val="-15"/>
                <w:sz w:val="24"/>
              </w:rPr>
              <w:t xml:space="preserve"> </w:t>
            </w:r>
            <w:r>
              <w:rPr>
                <w:sz w:val="24"/>
              </w:rPr>
              <w:t>rekomendacijų</w:t>
            </w:r>
            <w:r>
              <w:rPr>
                <w:spacing w:val="-15"/>
                <w:sz w:val="24"/>
              </w:rPr>
              <w:t xml:space="preserve"> </w:t>
            </w:r>
            <w:r>
              <w:rPr>
                <w:sz w:val="24"/>
              </w:rPr>
              <w:t>daugiašalėms</w:t>
            </w:r>
            <w:r>
              <w:rPr>
                <w:spacing w:val="-15"/>
                <w:sz w:val="24"/>
              </w:rPr>
              <w:t xml:space="preserve"> </w:t>
            </w:r>
            <w:r>
              <w:rPr>
                <w:sz w:val="24"/>
              </w:rPr>
              <w:t>įmonėms žinomumą. Jose pateikti taikytinus teisės aktus atitinkantys įmonės elgesio principai ir normos, kuriomis siūloma vadovautis savanoriškai. Rekomendacijomis taip pat siekiama užtikrinti, kad tokių įmonių veikla neprieštarautų vyriausybių vykdomai politikai, stiprinti įmonių ir visuomenės tarpusavio pasitikėjimą, padėti gerinti užsienio investicijoms</w:t>
            </w:r>
            <w:r>
              <w:rPr>
                <w:spacing w:val="-15"/>
                <w:sz w:val="24"/>
              </w:rPr>
              <w:t xml:space="preserve"> </w:t>
            </w:r>
            <w:r>
              <w:rPr>
                <w:sz w:val="24"/>
              </w:rPr>
              <w:t>palankų</w:t>
            </w:r>
            <w:r>
              <w:rPr>
                <w:spacing w:val="-15"/>
                <w:sz w:val="24"/>
              </w:rPr>
              <w:t xml:space="preserve"> </w:t>
            </w:r>
            <w:r>
              <w:rPr>
                <w:sz w:val="24"/>
              </w:rPr>
              <w:t>klimatą</w:t>
            </w:r>
            <w:r>
              <w:rPr>
                <w:spacing w:val="-15"/>
                <w:sz w:val="24"/>
              </w:rPr>
              <w:t xml:space="preserve"> </w:t>
            </w:r>
            <w:r>
              <w:rPr>
                <w:sz w:val="24"/>
              </w:rPr>
              <w:t>bei</w:t>
            </w:r>
            <w:r>
              <w:rPr>
                <w:spacing w:val="-15"/>
                <w:sz w:val="24"/>
              </w:rPr>
              <w:t xml:space="preserve"> </w:t>
            </w:r>
            <w:r>
              <w:rPr>
                <w:sz w:val="24"/>
              </w:rPr>
              <w:t>didinti</w:t>
            </w:r>
            <w:r>
              <w:rPr>
                <w:spacing w:val="-15"/>
                <w:sz w:val="24"/>
              </w:rPr>
              <w:t xml:space="preserve"> </w:t>
            </w:r>
            <w:r>
              <w:rPr>
                <w:sz w:val="24"/>
              </w:rPr>
              <w:t>daugiašalių įmonių indėlį į subalansuotos plėtros procesus.</w:t>
            </w:r>
          </w:p>
        </w:tc>
      </w:tr>
      <w:tr w:rsidR="00C9721F" w14:paraId="4FEC9381" w14:textId="77777777">
        <w:trPr>
          <w:trHeight w:val="2197"/>
        </w:trPr>
        <w:tc>
          <w:tcPr>
            <w:tcW w:w="3425" w:type="dxa"/>
          </w:tcPr>
          <w:p w14:paraId="4FEC937B" w14:textId="69BD2526" w:rsidR="00C9721F" w:rsidRDefault="00475D1F">
            <w:pPr>
              <w:pStyle w:val="TableParagraph"/>
              <w:ind w:left="117" w:right="131"/>
              <w:jc w:val="both"/>
              <w:rPr>
                <w:sz w:val="24"/>
              </w:rPr>
            </w:pPr>
            <w:r>
              <w:rPr>
                <w:sz w:val="24"/>
              </w:rPr>
              <w:t>EBPO Atsakingo verslo darbo grupės posėdis bei Nacionalinių koordinacinių</w:t>
            </w:r>
            <w:r>
              <w:rPr>
                <w:spacing w:val="-3"/>
                <w:sz w:val="24"/>
              </w:rPr>
              <w:t xml:space="preserve"> </w:t>
            </w:r>
            <w:r>
              <w:rPr>
                <w:sz w:val="24"/>
              </w:rPr>
              <w:t>centrų</w:t>
            </w:r>
            <w:r>
              <w:rPr>
                <w:spacing w:val="-4"/>
                <w:sz w:val="24"/>
              </w:rPr>
              <w:t xml:space="preserve"> </w:t>
            </w:r>
            <w:r>
              <w:rPr>
                <w:sz w:val="24"/>
              </w:rPr>
              <w:t>susitikimas dėl atsakingo verslo Paryžiuje.</w:t>
            </w:r>
          </w:p>
        </w:tc>
        <w:tc>
          <w:tcPr>
            <w:tcW w:w="1562" w:type="dxa"/>
          </w:tcPr>
          <w:p w14:paraId="4FEC937C" w14:textId="77777777" w:rsidR="00C9721F" w:rsidRDefault="00C9721F">
            <w:pPr>
              <w:pStyle w:val="TableParagraph"/>
              <w:rPr>
                <w:sz w:val="24"/>
              </w:rPr>
            </w:pPr>
          </w:p>
          <w:p w14:paraId="4FEC937D" w14:textId="77777777" w:rsidR="00C9721F" w:rsidRDefault="00C9721F">
            <w:pPr>
              <w:pStyle w:val="TableParagraph"/>
              <w:spacing w:before="126"/>
              <w:rPr>
                <w:sz w:val="24"/>
              </w:rPr>
            </w:pPr>
          </w:p>
          <w:p w14:paraId="4FEC937E" w14:textId="432A24DA" w:rsidR="00C9721F" w:rsidRDefault="00475D1F">
            <w:pPr>
              <w:pStyle w:val="TableParagraph"/>
              <w:ind w:left="350"/>
              <w:rPr>
                <w:sz w:val="24"/>
              </w:rPr>
            </w:pPr>
            <w:r>
              <w:rPr>
                <w:sz w:val="24"/>
              </w:rPr>
              <w:t>202</w:t>
            </w:r>
            <w:r w:rsidR="00910E73">
              <w:rPr>
                <w:sz w:val="24"/>
              </w:rPr>
              <w:t>5</w:t>
            </w:r>
            <w:r>
              <w:rPr>
                <w:sz w:val="24"/>
              </w:rPr>
              <w:t xml:space="preserve"> </w:t>
            </w:r>
            <w:r>
              <w:rPr>
                <w:spacing w:val="-5"/>
                <w:sz w:val="24"/>
              </w:rPr>
              <w:t>m.</w:t>
            </w:r>
          </w:p>
          <w:p w14:paraId="4FEC937F" w14:textId="77777777" w:rsidR="00C9721F" w:rsidRDefault="00475D1F">
            <w:pPr>
              <w:pStyle w:val="TableParagraph"/>
              <w:ind w:left="506" w:right="381" w:hanging="190"/>
              <w:rPr>
                <w:sz w:val="24"/>
              </w:rPr>
            </w:pPr>
            <w:r>
              <w:rPr>
                <w:spacing w:val="-2"/>
                <w:sz w:val="24"/>
              </w:rPr>
              <w:t xml:space="preserve">lapkričio </w:t>
            </w:r>
            <w:r>
              <w:rPr>
                <w:spacing w:val="-4"/>
                <w:sz w:val="24"/>
              </w:rPr>
              <w:t>mėn.</w:t>
            </w:r>
          </w:p>
        </w:tc>
        <w:tc>
          <w:tcPr>
            <w:tcW w:w="5205" w:type="dxa"/>
            <w:vMerge/>
            <w:tcBorders>
              <w:top w:val="nil"/>
            </w:tcBorders>
          </w:tcPr>
          <w:p w14:paraId="4FEC9380" w14:textId="77777777" w:rsidR="00C9721F" w:rsidRDefault="00C9721F">
            <w:pPr>
              <w:rPr>
                <w:sz w:val="2"/>
                <w:szCs w:val="2"/>
              </w:rPr>
            </w:pPr>
          </w:p>
        </w:tc>
      </w:tr>
    </w:tbl>
    <w:p w14:paraId="4FEC9382" w14:textId="77777777" w:rsidR="002E7A84" w:rsidRDefault="002E7A84"/>
    <w:sectPr w:rsidR="002E7A84">
      <w:type w:val="continuous"/>
      <w:pgSz w:w="11910" w:h="16840"/>
      <w:pgMar w:top="960" w:right="46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1F"/>
    <w:rsid w:val="00005CAF"/>
    <w:rsid w:val="000345C7"/>
    <w:rsid w:val="000A13CD"/>
    <w:rsid w:val="000C11E0"/>
    <w:rsid w:val="001224ED"/>
    <w:rsid w:val="00133192"/>
    <w:rsid w:val="0017496C"/>
    <w:rsid w:val="0018441B"/>
    <w:rsid w:val="001A4FAC"/>
    <w:rsid w:val="00236DAF"/>
    <w:rsid w:val="00271873"/>
    <w:rsid w:val="00276AEB"/>
    <w:rsid w:val="002E7A84"/>
    <w:rsid w:val="00314E02"/>
    <w:rsid w:val="00326F10"/>
    <w:rsid w:val="00370D75"/>
    <w:rsid w:val="00375642"/>
    <w:rsid w:val="003A7CA2"/>
    <w:rsid w:val="00400A98"/>
    <w:rsid w:val="00475D1F"/>
    <w:rsid w:val="004C7C8C"/>
    <w:rsid w:val="00594F5A"/>
    <w:rsid w:val="005B4B7D"/>
    <w:rsid w:val="005B60BD"/>
    <w:rsid w:val="005D29EC"/>
    <w:rsid w:val="005E1181"/>
    <w:rsid w:val="00615DE1"/>
    <w:rsid w:val="006425DD"/>
    <w:rsid w:val="0066032E"/>
    <w:rsid w:val="00663EB3"/>
    <w:rsid w:val="0068006E"/>
    <w:rsid w:val="007C0C23"/>
    <w:rsid w:val="007F7679"/>
    <w:rsid w:val="0082678D"/>
    <w:rsid w:val="00844018"/>
    <w:rsid w:val="00857A32"/>
    <w:rsid w:val="00897D0B"/>
    <w:rsid w:val="008B372E"/>
    <w:rsid w:val="00910E73"/>
    <w:rsid w:val="00925FF3"/>
    <w:rsid w:val="0097679E"/>
    <w:rsid w:val="00976C54"/>
    <w:rsid w:val="0099788C"/>
    <w:rsid w:val="009E687A"/>
    <w:rsid w:val="00A06DFC"/>
    <w:rsid w:val="00A11E7E"/>
    <w:rsid w:val="00A44E73"/>
    <w:rsid w:val="00A978D8"/>
    <w:rsid w:val="00AB0327"/>
    <w:rsid w:val="00AC0D18"/>
    <w:rsid w:val="00B3753B"/>
    <w:rsid w:val="00B50113"/>
    <w:rsid w:val="00B62E56"/>
    <w:rsid w:val="00B94580"/>
    <w:rsid w:val="00C210A5"/>
    <w:rsid w:val="00C639C1"/>
    <w:rsid w:val="00C9721F"/>
    <w:rsid w:val="00CD233C"/>
    <w:rsid w:val="00CF4C13"/>
    <w:rsid w:val="00D171DF"/>
    <w:rsid w:val="00D351BA"/>
    <w:rsid w:val="00DF46A9"/>
    <w:rsid w:val="00E063CA"/>
    <w:rsid w:val="00E07567"/>
    <w:rsid w:val="00E26180"/>
    <w:rsid w:val="00E31071"/>
    <w:rsid w:val="00E35235"/>
    <w:rsid w:val="00E411A5"/>
    <w:rsid w:val="00FD1867"/>
    <w:rsid w:val="00FD6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92D4"/>
  <w15:docId w15:val="{70B2AB4D-FEFB-4D53-8C9D-49DD466B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015"/>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2678D"/>
    <w:rPr>
      <w:sz w:val="16"/>
      <w:szCs w:val="16"/>
    </w:rPr>
  </w:style>
  <w:style w:type="paragraph" w:styleId="CommentText">
    <w:name w:val="annotation text"/>
    <w:basedOn w:val="Normal"/>
    <w:link w:val="CommentTextChar"/>
    <w:uiPriority w:val="99"/>
    <w:unhideWhenUsed/>
    <w:rsid w:val="0082678D"/>
    <w:rPr>
      <w:sz w:val="20"/>
      <w:szCs w:val="20"/>
    </w:rPr>
  </w:style>
  <w:style w:type="character" w:customStyle="1" w:styleId="CommentTextChar">
    <w:name w:val="Comment Text Char"/>
    <w:basedOn w:val="DefaultParagraphFont"/>
    <w:link w:val="CommentText"/>
    <w:uiPriority w:val="99"/>
    <w:rsid w:val="0082678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82678D"/>
    <w:rPr>
      <w:b/>
      <w:bCs/>
    </w:rPr>
  </w:style>
  <w:style w:type="character" w:customStyle="1" w:styleId="CommentSubjectChar">
    <w:name w:val="Comment Subject Char"/>
    <w:basedOn w:val="CommentTextChar"/>
    <w:link w:val="CommentSubject"/>
    <w:uiPriority w:val="99"/>
    <w:semiHidden/>
    <w:rsid w:val="0082678D"/>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2784</Characters>
  <Application>Microsoft Office Word</Application>
  <DocSecurity>0</DocSecurity>
  <Lines>99</Lines>
  <Paragraphs>34</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Kitovas Karolis</dc:creator>
  <cp:lastModifiedBy>Vaiva Nemanienė</cp:lastModifiedBy>
  <cp:revision>2</cp:revision>
  <dcterms:created xsi:type="dcterms:W3CDTF">2026-01-12T13:34:00Z</dcterms:created>
  <dcterms:modified xsi:type="dcterms:W3CDTF">2026-01-12T13:34:00Z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Microsoft® Word 2016</vt:lpwstr>
  </property>
  <property fmtid="{D5CDD505-2E9C-101B-9397-08002B2CF9AE}" pid="4" name="LastSaved">
    <vt:filetime>2023-12-20T00:00:00Z</vt:filetime>
  </property>
  <property fmtid="{D5CDD505-2E9C-101B-9397-08002B2CF9AE}" pid="5" name="Producer">
    <vt:lpwstr>3-Heights(TM) PDF Security Shell 4.8.25.2 (http://www.pdf-tools.com)</vt:lpwstr>
  </property>
</Properties>
</file>